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80E" w:rsidRDefault="00B274E7" w:rsidP="00B274E7">
      <w:pPr>
        <w:autoSpaceDE w:val="0"/>
        <w:autoSpaceDN w:val="0"/>
        <w:adjustRightInd w:val="0"/>
        <w:spacing w:line="240" w:lineRule="auto"/>
        <w:rPr>
          <w:rFonts w:eastAsia="Times New Roman" w:cs="TrebuchetMS"/>
          <w:sz w:val="16"/>
          <w:szCs w:val="18"/>
        </w:rPr>
      </w:pPr>
      <w:r>
        <w:rPr>
          <w:rFonts w:eastAsia="Times New Roman" w:cs="TrebuchetMS"/>
          <w:noProof/>
          <w:sz w:val="16"/>
          <w:szCs w:val="18"/>
        </w:rPr>
        <w:drawing>
          <wp:inline distT="0" distB="0" distL="0" distR="0" wp14:anchorId="664CB34F">
            <wp:extent cx="2444750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rebuchetMS"/>
          <w:noProof/>
          <w:sz w:val="16"/>
          <w:szCs w:val="18"/>
        </w:rPr>
        <w:t xml:space="preserve">                                                            </w:t>
      </w:r>
      <w:r>
        <w:rPr>
          <w:rFonts w:eastAsia="Times New Roman" w:cs="TrebuchetMS"/>
          <w:noProof/>
          <w:sz w:val="16"/>
          <w:szCs w:val="18"/>
        </w:rPr>
        <w:drawing>
          <wp:inline distT="0" distB="0" distL="0" distR="0" wp14:anchorId="60F576E7">
            <wp:extent cx="1371600" cy="6889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3161" w:rsidRDefault="008A5701" w:rsidP="006F4A6A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rebuchetMS"/>
          <w:sz w:val="16"/>
          <w:szCs w:val="18"/>
        </w:rPr>
      </w:pPr>
    </w:p>
    <w:p w:rsidR="00E55FC8" w:rsidRDefault="008A5701" w:rsidP="006F4A6A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rebuchetMS"/>
          <w:sz w:val="16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3"/>
      </w:tblGrid>
      <w:tr w:rsidR="006C4414" w:rsidTr="00EA221F">
        <w:trPr>
          <w:trHeight w:val="351"/>
        </w:trPr>
        <w:tc>
          <w:tcPr>
            <w:tcW w:w="9060" w:type="dxa"/>
            <w:gridSpan w:val="2"/>
          </w:tcPr>
          <w:p w:rsidR="00D64977" w:rsidRDefault="00B57BE3" w:rsidP="00B274E7">
            <w:pPr>
              <w:ind w:left="5275"/>
              <w:jc w:val="right"/>
            </w:pPr>
            <w:r>
              <w:t xml:space="preserve">Warszawa, </w:t>
            </w:r>
            <w:bookmarkStart w:id="0" w:name="ezdDataPodpisu"/>
            <w:r>
              <w:t>$DATA</w:t>
            </w:r>
            <w:bookmarkEnd w:id="0"/>
            <w:r>
              <w:t xml:space="preserve"> r.</w:t>
            </w:r>
          </w:p>
        </w:tc>
      </w:tr>
      <w:tr w:rsidR="006C4414" w:rsidTr="00584507">
        <w:tc>
          <w:tcPr>
            <w:tcW w:w="5387" w:type="dxa"/>
          </w:tcPr>
          <w:p w:rsidR="0021164D" w:rsidRPr="0021164D" w:rsidRDefault="008A5701" w:rsidP="00C2402F">
            <w:pPr>
              <w:jc w:val="left"/>
              <w:rPr>
                <w:sz w:val="12"/>
              </w:rPr>
            </w:pPr>
          </w:p>
        </w:tc>
        <w:tc>
          <w:tcPr>
            <w:tcW w:w="3673" w:type="dxa"/>
          </w:tcPr>
          <w:p w:rsidR="0021164D" w:rsidRPr="0021164D" w:rsidRDefault="008A5701" w:rsidP="00C2402F">
            <w:pPr>
              <w:jc w:val="left"/>
              <w:rPr>
                <w:sz w:val="12"/>
              </w:rPr>
            </w:pPr>
          </w:p>
        </w:tc>
      </w:tr>
      <w:tr w:rsidR="006C4414" w:rsidTr="00584507">
        <w:tc>
          <w:tcPr>
            <w:tcW w:w="5387" w:type="dxa"/>
          </w:tcPr>
          <w:p w:rsidR="0021164D" w:rsidRDefault="008A5701" w:rsidP="00C2402F">
            <w:pPr>
              <w:jc w:val="left"/>
            </w:pPr>
          </w:p>
        </w:tc>
        <w:tc>
          <w:tcPr>
            <w:tcW w:w="3673" w:type="dxa"/>
          </w:tcPr>
          <w:p w:rsidR="0021164D" w:rsidRDefault="008A5701" w:rsidP="00E25931">
            <w:pPr>
              <w:spacing w:line="276" w:lineRule="auto"/>
              <w:jc w:val="left"/>
            </w:pPr>
          </w:p>
        </w:tc>
      </w:tr>
    </w:tbl>
    <w:p w:rsidR="00B274E7" w:rsidRPr="00B274E7" w:rsidRDefault="00B274E7" w:rsidP="00B274E7">
      <w:pPr>
        <w:spacing w:line="276" w:lineRule="auto"/>
        <w:jc w:val="center"/>
        <w:rPr>
          <w:b/>
        </w:rPr>
      </w:pPr>
      <w:r w:rsidRPr="00B274E7">
        <w:rPr>
          <w:b/>
        </w:rPr>
        <w:t>Sprawozdanie  z działalności Inspekcji Handlowej jako podmiotu ADR za 202</w:t>
      </w:r>
      <w:r w:rsidR="009D2FE0">
        <w:rPr>
          <w:b/>
        </w:rPr>
        <w:t>5</w:t>
      </w:r>
      <w:r w:rsidRPr="00B274E7">
        <w:rPr>
          <w:b/>
        </w:rPr>
        <w:t xml:space="preserve"> r.</w:t>
      </w:r>
    </w:p>
    <w:p w:rsidR="00B274E7" w:rsidRPr="00B274E7" w:rsidRDefault="00B274E7" w:rsidP="00B274E7">
      <w:pPr>
        <w:spacing w:line="276" w:lineRule="auto"/>
        <w:rPr>
          <w:b/>
        </w:rPr>
      </w:pPr>
    </w:p>
    <w:p w:rsidR="003573CB" w:rsidRDefault="003573CB" w:rsidP="003C1024">
      <w:pPr>
        <w:spacing w:after="120" w:line="276" w:lineRule="auto"/>
        <w:rPr>
          <w:rFonts w:cs="Tahoma"/>
          <w:color w:val="000000"/>
        </w:rPr>
      </w:pPr>
      <w:r w:rsidRPr="0026736F">
        <w:rPr>
          <w:rFonts w:cs="Tahoma"/>
          <w:b/>
          <w:bCs/>
          <w:color w:val="000000"/>
        </w:rPr>
        <w:t>I</w:t>
      </w:r>
      <w:r>
        <w:rPr>
          <w:rFonts w:cs="Tahoma"/>
          <w:b/>
          <w:bCs/>
          <w:color w:val="000000"/>
        </w:rPr>
        <w:t>nspekcja Handlowa</w:t>
      </w:r>
      <w:r w:rsidRPr="0026736F">
        <w:rPr>
          <w:rFonts w:cs="Tahoma"/>
          <w:b/>
          <w:bCs/>
          <w:color w:val="000000"/>
        </w:rPr>
        <w:t xml:space="preserve"> prowadzi postępowania dotyczące pozasądowego rozwiązywania sporów konsumenckich, tj. </w:t>
      </w:r>
      <w:r w:rsidRPr="0026736F">
        <w:rPr>
          <w:rStyle w:val="Pogrubienie"/>
          <w:rFonts w:cs="Arial"/>
          <w:color w:val="000000"/>
          <w:shd w:val="clear" w:color="auto" w:fill="FFFFFF"/>
        </w:rPr>
        <w:t>polubowne postępowania</w:t>
      </w:r>
      <w:r>
        <w:rPr>
          <w:rFonts w:cs="Arial"/>
          <w:color w:val="000000"/>
          <w:shd w:val="clear" w:color="auto" w:fill="FFFFFF"/>
        </w:rPr>
        <w:t xml:space="preserve"> </w:t>
      </w:r>
      <w:r w:rsidRPr="0026736F">
        <w:rPr>
          <w:rFonts w:cs="Arial"/>
          <w:color w:val="000000"/>
          <w:shd w:val="clear" w:color="auto" w:fill="FFFFFF"/>
        </w:rPr>
        <w:t>prowadzone w</w:t>
      </w:r>
      <w:r>
        <w:rPr>
          <w:rFonts w:cs="Arial"/>
          <w:color w:val="000000"/>
          <w:shd w:val="clear" w:color="auto" w:fill="FFFFFF"/>
        </w:rPr>
        <w:t xml:space="preserve"> </w:t>
      </w:r>
      <w:r w:rsidRPr="0026736F">
        <w:rPr>
          <w:rStyle w:val="Pogrubienie"/>
          <w:rFonts w:cs="Arial"/>
          <w:color w:val="000000"/>
          <w:shd w:val="clear" w:color="auto" w:fill="FFFFFF"/>
        </w:rPr>
        <w:t>sporach pomiędzy konsumentami a przedsiębiorcami</w:t>
      </w:r>
      <w:r w:rsidRPr="0026736F">
        <w:rPr>
          <w:rFonts w:cs="Tahoma"/>
          <w:b/>
          <w:bCs/>
          <w:color w:val="000000"/>
        </w:rPr>
        <w:t xml:space="preserve"> </w:t>
      </w:r>
      <w:r w:rsidRPr="003573CB">
        <w:rPr>
          <w:rFonts w:cs="Tahoma"/>
          <w:bCs/>
          <w:color w:val="000000"/>
        </w:rPr>
        <w:t>(</w:t>
      </w:r>
      <w:r w:rsidRPr="003573CB">
        <w:rPr>
          <w:rFonts w:cs="Arial"/>
          <w:color w:val="000000"/>
          <w:shd w:val="clear" w:color="auto" w:fill="FFFFFF"/>
        </w:rPr>
        <w:t xml:space="preserve">w skrócie postępowania </w:t>
      </w:r>
      <w:r w:rsidRPr="003573CB">
        <w:rPr>
          <w:rStyle w:val="Pogrubienie"/>
          <w:rFonts w:cs="Arial"/>
          <w:b w:val="0"/>
          <w:color w:val="000000"/>
          <w:shd w:val="clear" w:color="auto" w:fill="FFFFFF"/>
        </w:rPr>
        <w:t>ADR</w:t>
      </w:r>
      <w:r w:rsidRPr="003573CB">
        <w:rPr>
          <w:rFonts w:cs="Arial"/>
          <w:b/>
          <w:color w:val="000000"/>
          <w:shd w:val="clear" w:color="auto" w:fill="FFFFFF"/>
        </w:rPr>
        <w:t xml:space="preserve"> </w:t>
      </w:r>
      <w:r w:rsidRPr="003573CB">
        <w:rPr>
          <w:rFonts w:cs="Arial"/>
          <w:color w:val="000000"/>
          <w:shd w:val="clear" w:color="auto" w:fill="FFFFFF"/>
        </w:rPr>
        <w:t>- ang.</w:t>
      </w:r>
      <w:r w:rsidRPr="003573CB">
        <w:rPr>
          <w:rFonts w:cs="Arial"/>
          <w:b/>
          <w:color w:val="000000"/>
          <w:shd w:val="clear" w:color="auto" w:fill="FFFFFF"/>
        </w:rPr>
        <w:t xml:space="preserve"> </w:t>
      </w:r>
      <w:r w:rsidRPr="003573CB">
        <w:rPr>
          <w:rStyle w:val="Pogrubienie"/>
          <w:rFonts w:cs="Arial"/>
          <w:b w:val="0"/>
          <w:color w:val="000000"/>
          <w:shd w:val="clear" w:color="auto" w:fill="FFFFFF"/>
        </w:rPr>
        <w:t>Alternative Dispute Resolution</w:t>
      </w:r>
      <w:r w:rsidRPr="003573CB">
        <w:rPr>
          <w:rFonts w:cs="Arial"/>
          <w:b/>
          <w:color w:val="000000"/>
          <w:shd w:val="clear" w:color="auto" w:fill="FFFFFF"/>
        </w:rPr>
        <w:t>)</w:t>
      </w:r>
      <w:r w:rsidRPr="003573CB">
        <w:rPr>
          <w:rFonts w:cs="Arial"/>
          <w:color w:val="000000"/>
          <w:shd w:val="clear" w:color="auto" w:fill="FFFFFF"/>
        </w:rPr>
        <w:t>,</w:t>
      </w:r>
      <w:r w:rsidRPr="0026736F">
        <w:rPr>
          <w:rFonts w:cs="Arial"/>
          <w:color w:val="000000"/>
          <w:shd w:val="clear" w:color="auto" w:fill="FFFFFF"/>
        </w:rPr>
        <w:t xml:space="preserve"> </w:t>
      </w:r>
      <w:r w:rsidRPr="0026736F">
        <w:rPr>
          <w:rFonts w:cs="Tahoma"/>
          <w:color w:val="000000"/>
        </w:rPr>
        <w:t>na podstawie art. 36 ustawy o I</w:t>
      </w:r>
      <w:r>
        <w:rPr>
          <w:rFonts w:cs="Tahoma"/>
          <w:color w:val="000000"/>
        </w:rPr>
        <w:t xml:space="preserve">nspekcji </w:t>
      </w:r>
      <w:r w:rsidRPr="0026736F">
        <w:rPr>
          <w:rFonts w:cs="Tahoma"/>
          <w:color w:val="000000"/>
        </w:rPr>
        <w:t>H</w:t>
      </w:r>
      <w:r>
        <w:rPr>
          <w:rFonts w:cs="Tahoma"/>
          <w:color w:val="000000"/>
        </w:rPr>
        <w:t>andlowej</w:t>
      </w:r>
      <w:r>
        <w:rPr>
          <w:rStyle w:val="Odwoanieprzypisudolnego"/>
          <w:rFonts w:cs="Tahoma"/>
          <w:color w:val="000000"/>
        </w:rPr>
        <w:footnoteReference w:id="1"/>
      </w:r>
      <w:r w:rsidRPr="0026736F">
        <w:rPr>
          <w:rFonts w:cs="Tahoma"/>
          <w:color w:val="000000"/>
        </w:rPr>
        <w:t xml:space="preserve"> oraz o przepisów ustawy o pozasądowym rozwiązywaniu sporów konsumenckich</w:t>
      </w:r>
      <w:r>
        <w:rPr>
          <w:rStyle w:val="Odwoanieprzypisudolnego"/>
        </w:rPr>
        <w:footnoteReference w:id="2"/>
      </w:r>
      <w:r>
        <w:rPr>
          <w:rFonts w:cs="Tahoma"/>
          <w:color w:val="000000"/>
        </w:rPr>
        <w:t>.</w:t>
      </w:r>
    </w:p>
    <w:p w:rsidR="003573CB" w:rsidRPr="00B274E7" w:rsidRDefault="00B274E7" w:rsidP="003C1024">
      <w:pPr>
        <w:spacing w:after="120" w:line="276" w:lineRule="auto"/>
      </w:pPr>
      <w:r w:rsidRPr="00B274E7">
        <w:t>Zgodnie z art. 11 ustawy</w:t>
      </w:r>
      <w:r w:rsidR="003573CB">
        <w:t xml:space="preserve"> </w:t>
      </w:r>
      <w:r w:rsidRPr="00B274E7">
        <w:t xml:space="preserve">o pozasądowym rozwiązywaniu sporów konsumenckich, Inspekcja Handlowa ma obowiązek sporządzić  sprawozdanie z działalności wojewódzkich inspektorów Inspekcji Handlowej </w:t>
      </w:r>
      <w:r w:rsidR="00D9469F">
        <w:t xml:space="preserve">(WIIH) </w:t>
      </w:r>
      <w:r w:rsidRPr="00B274E7">
        <w:t>jako podmiotu ADR.</w:t>
      </w:r>
    </w:p>
    <w:p w:rsidR="00B274E7" w:rsidRPr="00B274E7" w:rsidRDefault="00B274E7" w:rsidP="003573CB">
      <w:pPr>
        <w:numPr>
          <w:ilvl w:val="0"/>
          <w:numId w:val="4"/>
        </w:numPr>
        <w:spacing w:before="240" w:after="120" w:line="276" w:lineRule="auto"/>
        <w:ind w:left="425" w:hanging="425"/>
        <w:rPr>
          <w:b/>
        </w:rPr>
      </w:pPr>
      <w:r w:rsidRPr="00B274E7">
        <w:rPr>
          <w:b/>
        </w:rPr>
        <w:t>Informacja o liczbie wniosków o wszczęcie postępowania w sprawie pozasądowego rozwiązywania sporów konsumenckich (wnioski ADR), które wpłynęły do podmiotu uprawnionego oraz wskazanie ich przedmiotu</w:t>
      </w:r>
    </w:p>
    <w:p w:rsidR="00B274E7" w:rsidRPr="00B274E7" w:rsidRDefault="00B274E7" w:rsidP="003C1024">
      <w:pPr>
        <w:spacing w:after="120" w:line="276" w:lineRule="auto"/>
        <w:ind w:left="426"/>
      </w:pPr>
      <w:r w:rsidRPr="00B274E7">
        <w:t>Do podmiotu uprawnionego, którym jest Inspekcja Handlowa reprezentowana</w:t>
      </w:r>
      <w:r w:rsidRPr="00B274E7">
        <w:br/>
        <w:t xml:space="preserve">w każdym województwie przez </w:t>
      </w:r>
      <w:r w:rsidR="00D9469F">
        <w:t>WIIH,</w:t>
      </w:r>
      <w:bookmarkStart w:id="1" w:name="_GoBack"/>
      <w:bookmarkEnd w:id="1"/>
      <w:r w:rsidRPr="00B274E7">
        <w:t xml:space="preserve"> wpłynęło łącznie </w:t>
      </w:r>
      <w:r w:rsidR="001C72CF">
        <w:rPr>
          <w:b/>
        </w:rPr>
        <w:t>7445</w:t>
      </w:r>
      <w:r w:rsidRPr="00B274E7">
        <w:t xml:space="preserve"> </w:t>
      </w:r>
      <w:r w:rsidRPr="00B274E7">
        <w:rPr>
          <w:b/>
        </w:rPr>
        <w:t>wniosków</w:t>
      </w:r>
      <w:r w:rsidRPr="00B274E7">
        <w:t xml:space="preserve">. </w:t>
      </w:r>
    </w:p>
    <w:p w:rsidR="00B274E7" w:rsidRPr="00B274E7" w:rsidRDefault="00B274E7" w:rsidP="003C1024">
      <w:pPr>
        <w:spacing w:after="120" w:line="276" w:lineRule="auto"/>
        <w:ind w:left="426"/>
      </w:pPr>
      <w:r w:rsidRPr="00B274E7">
        <w:t>Większość wniosków, tj.</w:t>
      </w:r>
      <w:r w:rsidRPr="00B274E7">
        <w:rPr>
          <w:b/>
        </w:rPr>
        <w:t xml:space="preserve"> 5</w:t>
      </w:r>
      <w:r w:rsidR="001C72CF">
        <w:rPr>
          <w:b/>
        </w:rPr>
        <w:t>497</w:t>
      </w:r>
      <w:r w:rsidRPr="00B274E7">
        <w:t xml:space="preserve"> dotyczyło artykułów przemysłowych, w tym </w:t>
      </w:r>
      <w:r w:rsidR="001C72CF">
        <w:t>1117</w:t>
      </w:r>
      <w:r w:rsidR="003C1024">
        <w:t xml:space="preserve"> </w:t>
      </w:r>
      <w:r w:rsidRPr="00B274E7">
        <w:t xml:space="preserve">obuwia. Sprzętu RTV i AGD dotyczyło </w:t>
      </w:r>
      <w:r w:rsidR="001C72CF">
        <w:t>676</w:t>
      </w:r>
      <w:r w:rsidRPr="00B274E7">
        <w:t xml:space="preserve"> wniosków, odzieży </w:t>
      </w:r>
      <w:r w:rsidR="001C72CF">
        <w:t>857</w:t>
      </w:r>
      <w:r w:rsidRPr="00B274E7">
        <w:t xml:space="preserve">, mebli </w:t>
      </w:r>
      <w:r w:rsidR="001C72CF">
        <w:t>359</w:t>
      </w:r>
      <w:r w:rsidRPr="00B274E7">
        <w:t xml:space="preserve">, artykułów motoryzacyjnych </w:t>
      </w:r>
      <w:r w:rsidR="00D26B96">
        <w:t>305</w:t>
      </w:r>
      <w:r w:rsidRPr="00B274E7">
        <w:t xml:space="preserve">, sprzętu komputerowego </w:t>
      </w:r>
      <w:r w:rsidR="00D26B96">
        <w:t>212</w:t>
      </w:r>
      <w:r w:rsidRPr="00B274E7">
        <w:t xml:space="preserve">, galanterii </w:t>
      </w:r>
      <w:r w:rsidR="00D26B96">
        <w:t>8</w:t>
      </w:r>
      <w:r w:rsidRPr="00B274E7">
        <w:t xml:space="preserve">7, zabawek </w:t>
      </w:r>
      <w:r w:rsidR="00D26B96">
        <w:t>35</w:t>
      </w:r>
      <w:r w:rsidRPr="00B274E7">
        <w:t>, paliw ciekłych i LPG – 1</w:t>
      </w:r>
      <w:r w:rsidR="00D26B96">
        <w:t>3</w:t>
      </w:r>
      <w:r w:rsidRPr="00B274E7">
        <w:t>, innych, nieskategoryzowanych artykułów przemysłowych  - 1</w:t>
      </w:r>
      <w:r w:rsidR="00D26B96">
        <w:t>836</w:t>
      </w:r>
      <w:r w:rsidRPr="00B274E7">
        <w:t>.</w:t>
      </w:r>
    </w:p>
    <w:p w:rsidR="00BA25CF" w:rsidRPr="00B274E7" w:rsidRDefault="00B274E7" w:rsidP="003573CB">
      <w:pPr>
        <w:spacing w:after="120" w:line="276" w:lineRule="auto"/>
        <w:ind w:left="426"/>
      </w:pPr>
      <w:r w:rsidRPr="00B274E7">
        <w:t xml:space="preserve">Usług dotyczyło </w:t>
      </w:r>
      <w:r w:rsidRPr="00B274E7">
        <w:rPr>
          <w:b/>
        </w:rPr>
        <w:t>1</w:t>
      </w:r>
      <w:r w:rsidR="00D26B96">
        <w:rPr>
          <w:b/>
        </w:rPr>
        <w:t>948</w:t>
      </w:r>
      <w:r w:rsidRPr="00B274E7">
        <w:t xml:space="preserve"> wniosk</w:t>
      </w:r>
      <w:r w:rsidR="00F31F55">
        <w:t>ó</w:t>
      </w:r>
      <w:r w:rsidR="00D26B96">
        <w:t>w</w:t>
      </w:r>
      <w:r w:rsidRPr="00B274E7">
        <w:t xml:space="preserve">, w tym: usług remontowo-budowlanych </w:t>
      </w:r>
      <w:r w:rsidR="00D26B96">
        <w:t>223</w:t>
      </w:r>
      <w:r w:rsidRPr="00B274E7">
        <w:t xml:space="preserve">, motoryzacyjnych </w:t>
      </w:r>
      <w:r w:rsidR="00D26B96">
        <w:t>119</w:t>
      </w:r>
      <w:r w:rsidRPr="00B274E7">
        <w:t>, pralniczych 3</w:t>
      </w:r>
      <w:r w:rsidR="00D26B96">
        <w:t>4</w:t>
      </w:r>
      <w:r w:rsidRPr="00B274E7">
        <w:t xml:space="preserve">, fryzjerskich i kosmetycznych </w:t>
      </w:r>
      <w:r w:rsidR="00D26B96">
        <w:t>60</w:t>
      </w:r>
      <w:r w:rsidRPr="00B274E7">
        <w:t xml:space="preserve">, gastronomicznych </w:t>
      </w:r>
      <w:r w:rsidR="00F31F55">
        <w:t>37</w:t>
      </w:r>
      <w:r w:rsidRPr="00B274E7">
        <w:t>, usług edukacyjnych 3</w:t>
      </w:r>
      <w:r w:rsidR="00F31F55">
        <w:t>7</w:t>
      </w:r>
      <w:r w:rsidRPr="00B274E7">
        <w:t>, innych usług nieskategoryzowanych - 1</w:t>
      </w:r>
      <w:r w:rsidR="00F31F55">
        <w:t>438</w:t>
      </w:r>
      <w:r w:rsidRPr="00B274E7">
        <w:t xml:space="preserve">. </w:t>
      </w:r>
    </w:p>
    <w:p w:rsidR="00B274E7" w:rsidRPr="00B274E7" w:rsidRDefault="00B274E7" w:rsidP="003573CB">
      <w:pPr>
        <w:numPr>
          <w:ilvl w:val="0"/>
          <w:numId w:val="4"/>
        </w:numPr>
        <w:spacing w:before="240" w:after="120" w:line="276" w:lineRule="auto"/>
        <w:ind w:left="425" w:hanging="425"/>
        <w:rPr>
          <w:b/>
        </w:rPr>
      </w:pPr>
      <w:r w:rsidRPr="00B274E7">
        <w:rPr>
          <w:b/>
        </w:rPr>
        <w:t>Informacja o powtarzających się lub istotnych problemach, które prowadzą do sporów konsumenckich, do której mogą być dołączone zalecenia dotyczące unikania lub rozwiązywania takich problemów</w:t>
      </w:r>
    </w:p>
    <w:p w:rsidR="00B274E7" w:rsidRPr="00B274E7" w:rsidRDefault="00B274E7" w:rsidP="00BA25CF">
      <w:pPr>
        <w:spacing w:line="276" w:lineRule="auto"/>
        <w:ind w:left="426"/>
      </w:pPr>
      <w:r w:rsidRPr="00B274E7">
        <w:t xml:space="preserve">Z analizy danych przesyłanych przez </w:t>
      </w:r>
      <w:r w:rsidR="00BA25CF">
        <w:t>WIIH</w:t>
      </w:r>
      <w:r w:rsidRPr="00B274E7">
        <w:t xml:space="preserve"> wynika, że spory w znacznej części dotyczą problemów związanych z:</w:t>
      </w:r>
    </w:p>
    <w:p w:rsidR="00B274E7" w:rsidRDefault="00B274E7" w:rsidP="00BA25CF">
      <w:pPr>
        <w:numPr>
          <w:ilvl w:val="3"/>
          <w:numId w:val="4"/>
        </w:numPr>
        <w:spacing w:line="276" w:lineRule="auto"/>
        <w:ind w:left="851"/>
      </w:pPr>
      <w:r w:rsidRPr="00B274E7">
        <w:t xml:space="preserve">odmową uznania roszczeń konsumentów z tytułu rękojmi czy gwarancji, czy też nieterminowym jej rozpatrzeniem, </w:t>
      </w:r>
    </w:p>
    <w:p w:rsidR="00FF3425" w:rsidRPr="00FF3425" w:rsidRDefault="00FF3425" w:rsidP="00BA25CF">
      <w:pPr>
        <w:numPr>
          <w:ilvl w:val="3"/>
          <w:numId w:val="4"/>
        </w:numPr>
        <w:spacing w:line="276" w:lineRule="auto"/>
        <w:ind w:left="851"/>
      </w:pPr>
      <w:r w:rsidRPr="00FF3425">
        <w:lastRenderedPageBreak/>
        <w:t>brak</w:t>
      </w:r>
      <w:r w:rsidR="00BA25CF">
        <w:t>iem</w:t>
      </w:r>
      <w:r w:rsidRPr="00FF3425">
        <w:t xml:space="preserve"> chęci stron </w:t>
      </w:r>
      <w:r w:rsidR="006B208C">
        <w:t>na</w:t>
      </w:r>
      <w:r w:rsidRPr="00FF3425">
        <w:t xml:space="preserve"> polubowne zakończ</w:t>
      </w:r>
      <w:r w:rsidR="006B208C">
        <w:t>enie sporu, nie</w:t>
      </w:r>
      <w:r w:rsidRPr="00FF3425">
        <w:t>należyt</w:t>
      </w:r>
      <w:r w:rsidR="00BA25CF">
        <w:t>ym</w:t>
      </w:r>
      <w:r w:rsidRPr="00FF3425">
        <w:t xml:space="preserve"> rozpatr</w:t>
      </w:r>
      <w:r>
        <w:t>ywanie</w:t>
      </w:r>
      <w:r w:rsidR="00BA25CF">
        <w:t>m</w:t>
      </w:r>
      <w:r w:rsidRPr="00FF3425">
        <w:t xml:space="preserve"> reklamacj</w:t>
      </w:r>
      <w:r>
        <w:t>i,</w:t>
      </w:r>
      <w:r w:rsidRPr="00FF3425">
        <w:t xml:space="preserve"> brak</w:t>
      </w:r>
      <w:r w:rsidR="00BA25CF">
        <w:t>iem</w:t>
      </w:r>
      <w:r w:rsidRPr="00FF3425">
        <w:t xml:space="preserve"> zgody </w:t>
      </w:r>
      <w:r w:rsidR="006B208C">
        <w:t xml:space="preserve">konsumentów </w:t>
      </w:r>
      <w:r w:rsidRPr="00FF3425">
        <w:t xml:space="preserve">na zaproponowane </w:t>
      </w:r>
      <w:r w:rsidR="00BA25CF" w:rsidRPr="00FF3425">
        <w:t xml:space="preserve">przez przedsiębiorcę </w:t>
      </w:r>
      <w:r w:rsidR="00BA25CF">
        <w:t>(</w:t>
      </w:r>
      <w:r w:rsidRPr="00FF3425">
        <w:t>w trakcie postępowania reklamacyjnego</w:t>
      </w:r>
      <w:r w:rsidR="00BA25CF">
        <w:t>)</w:t>
      </w:r>
      <w:r w:rsidRPr="00FF3425">
        <w:t xml:space="preserve"> sposoby jej rozpatrzenia</w:t>
      </w:r>
      <w:r>
        <w:t>,</w:t>
      </w:r>
    </w:p>
    <w:p w:rsidR="00B274E7" w:rsidRPr="00B274E7" w:rsidRDefault="00B274E7" w:rsidP="00BA25CF">
      <w:pPr>
        <w:numPr>
          <w:ilvl w:val="3"/>
          <w:numId w:val="4"/>
        </w:numPr>
        <w:spacing w:line="276" w:lineRule="auto"/>
        <w:ind w:left="851"/>
      </w:pPr>
      <w:r w:rsidRPr="00B274E7">
        <w:t>nienależytym wykonaniem umów o dzieło albo wykonaniem innych usług, niezgodnością towaru z umową, niedotrzymaniem terminów wykonania usługi określonej w umowie,</w:t>
      </w:r>
    </w:p>
    <w:p w:rsidR="00AE527C" w:rsidRDefault="0062558D" w:rsidP="00BA25CF">
      <w:pPr>
        <w:numPr>
          <w:ilvl w:val="3"/>
          <w:numId w:val="4"/>
        </w:numPr>
        <w:spacing w:line="276" w:lineRule="auto"/>
        <w:ind w:left="851"/>
      </w:pPr>
      <w:r>
        <w:t>fałszywy</w:t>
      </w:r>
      <w:r w:rsidR="00BA25CF">
        <w:t>m</w:t>
      </w:r>
      <w:r>
        <w:t xml:space="preserve"> dropshipping</w:t>
      </w:r>
      <w:r w:rsidR="00BA25CF">
        <w:t>iem</w:t>
      </w:r>
      <w:r>
        <w:t xml:space="preserve"> stosujący</w:t>
      </w:r>
      <w:r w:rsidR="00BA25CF">
        <w:t>m</w:t>
      </w:r>
      <w:r>
        <w:t xml:space="preserve"> model sprzedaży, który podszywa się pod klasyczny e-commerce, ale w rzeczywistości opierający</w:t>
      </w:r>
      <w:r w:rsidR="00BA25CF">
        <w:t>m</w:t>
      </w:r>
      <w:r>
        <w:t xml:space="preserve"> się na wprowadzaniu klienta w błąd lub oszustwie</w:t>
      </w:r>
      <w:r w:rsidR="00BA25CF">
        <w:t>,</w:t>
      </w:r>
    </w:p>
    <w:p w:rsidR="00B274E7" w:rsidRPr="00B274E7" w:rsidRDefault="00B274E7" w:rsidP="00BA25CF">
      <w:pPr>
        <w:numPr>
          <w:ilvl w:val="3"/>
          <w:numId w:val="4"/>
        </w:numPr>
        <w:spacing w:line="276" w:lineRule="auto"/>
        <w:ind w:left="851"/>
      </w:pPr>
      <w:r w:rsidRPr="00B274E7">
        <w:t>nieuznaniem odstąpienia od umów zawartych na odległość lub poza lokalem przedsiębiorstwa,</w:t>
      </w:r>
    </w:p>
    <w:p w:rsidR="0065605B" w:rsidRDefault="00B274E7" w:rsidP="003C1024">
      <w:pPr>
        <w:numPr>
          <w:ilvl w:val="3"/>
          <w:numId w:val="4"/>
        </w:numPr>
        <w:spacing w:after="120" w:line="276" w:lineRule="auto"/>
        <w:ind w:left="851"/>
      </w:pPr>
      <w:r w:rsidRPr="00B274E7">
        <w:t>niedostateczną znajomością przepisów regulujących sprzedaż konsumencką oraz</w:t>
      </w:r>
      <w:r w:rsidR="002F0A15" w:rsidRPr="002F0A15">
        <w:t xml:space="preserve"> brakiem świadomości, że gwarancja nie jest tożsama z rękojmią</w:t>
      </w:r>
      <w:r w:rsidR="002F0A15">
        <w:t>.</w:t>
      </w:r>
    </w:p>
    <w:p w:rsidR="00B274E7" w:rsidRDefault="00B274E7" w:rsidP="003C1024">
      <w:pPr>
        <w:spacing w:after="120" w:line="276" w:lineRule="auto"/>
        <w:ind w:left="426"/>
      </w:pPr>
      <w:r w:rsidRPr="00B274E7">
        <w:t>W 202</w:t>
      </w:r>
      <w:r w:rsidR="00172B72">
        <w:t>5</w:t>
      </w:r>
      <w:r w:rsidRPr="00B274E7">
        <w:t xml:space="preserve"> r., </w:t>
      </w:r>
      <w:r w:rsidR="00BA25CF">
        <w:t xml:space="preserve">tak </w:t>
      </w:r>
      <w:r w:rsidRPr="00B274E7">
        <w:t>jak w latach poprzednich, utrzym</w:t>
      </w:r>
      <w:r w:rsidR="00BA25CF">
        <w:t>yw</w:t>
      </w:r>
      <w:r w:rsidRPr="00B274E7">
        <w:t xml:space="preserve">ała się tendencja wzrostowa liczby wniosków dotyczących umów sprzedaży zawieranych na odległość. W przypadku przedsiębiorców prowadzących sklepy internetowe wnioski dotyczyły stwierdzenia </w:t>
      </w:r>
      <w:r w:rsidRPr="00B274E7">
        <w:br/>
      </w:r>
      <w:r w:rsidR="00BA25CF">
        <w:t>(</w:t>
      </w:r>
      <w:r w:rsidRPr="00B274E7">
        <w:t>w większości przypadków</w:t>
      </w:r>
      <w:r w:rsidR="00BA25CF">
        <w:t>)</w:t>
      </w:r>
      <w:r w:rsidRPr="00B274E7">
        <w:t xml:space="preserve"> błędnej informacji </w:t>
      </w:r>
      <w:r w:rsidR="00BA25CF">
        <w:t xml:space="preserve">o </w:t>
      </w:r>
      <w:r w:rsidRPr="00B274E7">
        <w:t>cen</w:t>
      </w:r>
      <w:r w:rsidR="00BA25CF">
        <w:t>ie</w:t>
      </w:r>
      <w:r w:rsidRPr="00B274E7">
        <w:t>, odmow</w:t>
      </w:r>
      <w:r w:rsidR="00BA25CF">
        <w:t>y</w:t>
      </w:r>
      <w:r w:rsidRPr="00B274E7">
        <w:t xml:space="preserve"> zwrotu kosztów dostarczenia towaru w przypadku odstąpienia od umowy bez podania przyczyny, nieprawidłowym spełnieniem wymagań  informacyjnych</w:t>
      </w:r>
      <w:r w:rsidR="00CE10A5">
        <w:t xml:space="preserve">, </w:t>
      </w:r>
      <w:r w:rsidR="00CE10A5" w:rsidRPr="00CE10A5">
        <w:t>zwłok</w:t>
      </w:r>
      <w:r w:rsidR="00BA25CF">
        <w:t>i</w:t>
      </w:r>
      <w:r w:rsidR="00CE10A5" w:rsidRPr="00CE10A5">
        <w:t xml:space="preserve"> przedsiębiorców ze zwrotem płatności</w:t>
      </w:r>
      <w:r w:rsidR="00BA25CF">
        <w:t>,</w:t>
      </w:r>
      <w:r w:rsidR="00CE10A5" w:rsidRPr="00CE10A5">
        <w:t xml:space="preserve"> w przypadku odstąpienia od umów zawieranych na odległość</w:t>
      </w:r>
      <w:r w:rsidRPr="00B274E7">
        <w:t>.</w:t>
      </w:r>
    </w:p>
    <w:p w:rsidR="00BA25CF" w:rsidRPr="00B274E7" w:rsidRDefault="00B274E7" w:rsidP="003573CB">
      <w:pPr>
        <w:numPr>
          <w:ilvl w:val="0"/>
          <w:numId w:val="4"/>
        </w:numPr>
        <w:spacing w:before="240" w:after="120" w:line="276" w:lineRule="auto"/>
        <w:ind w:left="425" w:hanging="425"/>
      </w:pPr>
      <w:r w:rsidRPr="00B274E7">
        <w:rPr>
          <w:b/>
        </w:rPr>
        <w:t xml:space="preserve">Informacja o sporach, których rozpatrzenia podmiot uprawniony odmówił, </w:t>
      </w:r>
      <w:r w:rsidRPr="00B274E7">
        <w:rPr>
          <w:b/>
        </w:rPr>
        <w:br/>
        <w:t>w stosunku do liczby złożonych wniosków o wszczęcie postępowania w sprawie pozasądowego rozwiązywania sporów konsumenckich</w:t>
      </w:r>
    </w:p>
    <w:p w:rsidR="00B274E7" w:rsidRPr="00B274E7" w:rsidRDefault="00B274E7" w:rsidP="003573CB">
      <w:pPr>
        <w:spacing w:line="276" w:lineRule="auto"/>
        <w:ind w:left="426"/>
      </w:pPr>
      <w:r w:rsidRPr="00B274E7">
        <w:t>W przypadku, gdy wnioskodawcą był konsument</w:t>
      </w:r>
      <w:r w:rsidR="00D53B96">
        <w:t>, w przypadku</w:t>
      </w:r>
      <w:r w:rsidRPr="00B274E7">
        <w:t xml:space="preserve"> </w:t>
      </w:r>
      <w:r w:rsidR="00542B13">
        <w:rPr>
          <w:b/>
        </w:rPr>
        <w:t>5</w:t>
      </w:r>
      <w:r w:rsidR="0073208B">
        <w:rPr>
          <w:b/>
        </w:rPr>
        <w:t xml:space="preserve"> 010</w:t>
      </w:r>
      <w:r w:rsidRPr="00B274E7">
        <w:rPr>
          <w:b/>
        </w:rPr>
        <w:t xml:space="preserve"> </w:t>
      </w:r>
      <w:r w:rsidRPr="00B274E7">
        <w:t>wniosków</w:t>
      </w:r>
      <w:r w:rsidR="00D53B96">
        <w:t>,</w:t>
      </w:r>
      <w:r w:rsidRPr="00B274E7">
        <w:t xml:space="preserve"> podmiot</w:t>
      </w:r>
      <w:r w:rsidR="00D53B96">
        <w:t xml:space="preserve"> ADR</w:t>
      </w:r>
      <w:r w:rsidRPr="00B274E7">
        <w:t xml:space="preserve"> odmówił zajęcia się sprawą w </w:t>
      </w:r>
      <w:r w:rsidR="008F3975" w:rsidRPr="002114B1">
        <w:rPr>
          <w:b/>
        </w:rPr>
        <w:t>1</w:t>
      </w:r>
      <w:r w:rsidR="0049598F" w:rsidRPr="002114B1">
        <w:rPr>
          <w:b/>
        </w:rPr>
        <w:t>43</w:t>
      </w:r>
      <w:r w:rsidRPr="00B274E7">
        <w:t xml:space="preserve"> przypadkach. I tak:</w:t>
      </w:r>
    </w:p>
    <w:p w:rsidR="00B274E7" w:rsidRPr="00B274E7" w:rsidRDefault="00B274E7" w:rsidP="003573CB">
      <w:pPr>
        <w:numPr>
          <w:ilvl w:val="0"/>
          <w:numId w:val="5"/>
        </w:numPr>
        <w:spacing w:line="276" w:lineRule="auto"/>
        <w:ind w:left="851"/>
      </w:pPr>
      <w:r w:rsidRPr="00B274E7">
        <w:t xml:space="preserve">w </w:t>
      </w:r>
      <w:r w:rsidR="00256FDA">
        <w:t>1</w:t>
      </w:r>
      <w:r w:rsidR="008F3975">
        <w:t>14</w:t>
      </w:r>
      <w:r w:rsidRPr="00B274E7">
        <w:t xml:space="preserve"> przypadkach przedmiot sporu wykraczał poza kategorię sporów objętych właściwością Inspekcji Handlowej,</w:t>
      </w:r>
    </w:p>
    <w:p w:rsidR="00B274E7" w:rsidRDefault="008F3975" w:rsidP="003573CB">
      <w:pPr>
        <w:numPr>
          <w:ilvl w:val="0"/>
          <w:numId w:val="5"/>
        </w:numPr>
        <w:spacing w:line="276" w:lineRule="auto"/>
        <w:ind w:left="851"/>
      </w:pPr>
      <w:r w:rsidRPr="00B274E7">
        <w:t xml:space="preserve">w </w:t>
      </w:r>
      <w:r w:rsidRPr="00256FDA">
        <w:t>13</w:t>
      </w:r>
      <w:r w:rsidRPr="00B274E7">
        <w:t xml:space="preserve"> przypadkach sprawa o to samo roszczenie między tymi samymi stronami była w toku albo została już rozpatrzona przez Inspekcję Handlową, stały sąd polubowny, inny właściwy podmiot albo sąd powszechny</w:t>
      </w:r>
      <w:r>
        <w:t>,</w:t>
      </w:r>
    </w:p>
    <w:p w:rsidR="00AE1C5B" w:rsidRPr="00AE1C5B" w:rsidRDefault="00AE1C5B" w:rsidP="003573CB">
      <w:pPr>
        <w:numPr>
          <w:ilvl w:val="0"/>
          <w:numId w:val="5"/>
        </w:numPr>
        <w:spacing w:line="276" w:lineRule="auto"/>
        <w:ind w:left="851"/>
      </w:pPr>
      <w:r w:rsidRPr="00AE1C5B">
        <w:t xml:space="preserve">w </w:t>
      </w:r>
      <w:r w:rsidRPr="00AE1C5B">
        <w:rPr>
          <w:bCs/>
        </w:rPr>
        <w:t>9</w:t>
      </w:r>
      <w:r w:rsidRPr="00AE1C5B">
        <w:t xml:space="preserve"> przypadkach</w:t>
      </w:r>
      <w:r w:rsidR="00D53B96">
        <w:t>,</w:t>
      </w:r>
      <w:r w:rsidRPr="00AE1C5B">
        <w:t xml:space="preserve"> wnioskodawcy wraz z wnioskiem przesłali oświadczenie przedsiębiorcy o odmowie wzięcia udziału w postępowaniu w sprawie pozasądowego rozwiązywania sporów konsumenckich, złożone w trybie art. 32 ust. 1 pkt 2 ustawy</w:t>
      </w:r>
      <w:r w:rsidR="00D53B96">
        <w:br/>
      </w:r>
      <w:r w:rsidRPr="00AE1C5B">
        <w:t>o pozasądowym rozwiązywaniu sporów konsumenckich</w:t>
      </w:r>
      <w:r w:rsidRPr="00AE1C5B">
        <w:rPr>
          <w:b/>
          <w:bCs/>
        </w:rPr>
        <w:t>,</w:t>
      </w:r>
    </w:p>
    <w:p w:rsidR="00AE1C5B" w:rsidRPr="00B274E7" w:rsidRDefault="00AE1C5B" w:rsidP="003573CB">
      <w:pPr>
        <w:numPr>
          <w:ilvl w:val="0"/>
          <w:numId w:val="5"/>
        </w:numPr>
        <w:spacing w:line="276" w:lineRule="auto"/>
        <w:ind w:left="851"/>
      </w:pPr>
      <w:r w:rsidRPr="00AE1C5B">
        <w:t xml:space="preserve">w </w:t>
      </w:r>
      <w:r w:rsidRPr="00AE1C5B">
        <w:rPr>
          <w:bCs/>
        </w:rPr>
        <w:t>4</w:t>
      </w:r>
      <w:r w:rsidRPr="00AE1C5B">
        <w:t xml:space="preserve"> przypadkach, gdy wnioskodawca nie odpowiedział w terminie na wezwanie do uzupełnienia braków formalnych wniosku ADR</w:t>
      </w:r>
      <w:r w:rsidR="00D53B96">
        <w:t>,</w:t>
      </w:r>
    </w:p>
    <w:p w:rsidR="00B274E7" w:rsidRPr="00B274E7" w:rsidRDefault="008F3975" w:rsidP="003573CB">
      <w:pPr>
        <w:numPr>
          <w:ilvl w:val="0"/>
          <w:numId w:val="5"/>
        </w:numPr>
        <w:spacing w:after="120" w:line="276" w:lineRule="auto"/>
        <w:ind w:left="851"/>
      </w:pPr>
      <w:r w:rsidRPr="00B274E7">
        <w:t xml:space="preserve">w </w:t>
      </w:r>
      <w:r>
        <w:t>3</w:t>
      </w:r>
      <w:r w:rsidRPr="00B274E7">
        <w:t xml:space="preserve"> przypadkach wnioskodawca nie podjął, przed złożeniem wniosku o wszczęcie postępowania w sprawie pozasądowego rozwiązywania sporów konsumenckich, próby kontaktu z drugą stroną i bezpośredniego rozwiązania sporu</w:t>
      </w:r>
      <w:r>
        <w:t>.</w:t>
      </w:r>
    </w:p>
    <w:p w:rsidR="00B274E7" w:rsidRDefault="00B274E7" w:rsidP="003573CB">
      <w:pPr>
        <w:spacing w:after="120" w:line="276" w:lineRule="auto"/>
        <w:ind w:left="426"/>
      </w:pPr>
      <w:r w:rsidRPr="00B274E7">
        <w:t xml:space="preserve">W przypadku, gdy wnioskodawcą był przedsiębiorca – w odniesieniu do </w:t>
      </w:r>
      <w:r w:rsidR="0049598F" w:rsidRPr="002114B1">
        <w:rPr>
          <w:b/>
        </w:rPr>
        <w:t>25</w:t>
      </w:r>
      <w:r w:rsidR="0049598F">
        <w:t xml:space="preserve"> </w:t>
      </w:r>
      <w:r w:rsidRPr="00B274E7">
        <w:t xml:space="preserve">wniosków </w:t>
      </w:r>
      <w:r w:rsidR="00D53B96">
        <w:t>podmiot ADR</w:t>
      </w:r>
      <w:r w:rsidRPr="00B274E7">
        <w:t xml:space="preserve"> odmówił zajęcia się sprawą, ponieważ przedmiot sporu wykraczał poza kategorię sporów objętych właściwością Inspekcji Handlowej.</w:t>
      </w:r>
    </w:p>
    <w:p w:rsidR="0049598F" w:rsidRPr="00B274E7" w:rsidRDefault="0049598F" w:rsidP="003C1024">
      <w:pPr>
        <w:spacing w:after="120" w:line="276" w:lineRule="auto"/>
      </w:pPr>
    </w:p>
    <w:p w:rsidR="00B274E7" w:rsidRDefault="00B274E7" w:rsidP="003573CB">
      <w:pPr>
        <w:numPr>
          <w:ilvl w:val="0"/>
          <w:numId w:val="4"/>
        </w:numPr>
        <w:spacing w:before="240" w:after="120" w:line="276" w:lineRule="auto"/>
        <w:ind w:left="425" w:hanging="425"/>
        <w:rPr>
          <w:b/>
        </w:rPr>
      </w:pPr>
      <w:r w:rsidRPr="00B274E7">
        <w:rPr>
          <w:b/>
        </w:rPr>
        <w:lastRenderedPageBreak/>
        <w:t>Informacja o udziale postępowań w sprawie pozasądowego rozwiązywania sporów konsumenckich, które zakończono przed osiągnięciem wyniku, w stosunku do liczby wszczętych postępowań, a także powody takiego zakończenia, o ile są znane</w:t>
      </w:r>
      <w:r w:rsidR="00223305">
        <w:rPr>
          <w:b/>
        </w:rPr>
        <w:t>.</w:t>
      </w:r>
    </w:p>
    <w:p w:rsidR="00B274E7" w:rsidRPr="00B274E7" w:rsidRDefault="00B274E7" w:rsidP="002778B9">
      <w:pPr>
        <w:spacing w:line="276" w:lineRule="auto"/>
        <w:ind w:left="426"/>
      </w:pPr>
      <w:r w:rsidRPr="00B274E7">
        <w:t>W przypadku</w:t>
      </w:r>
      <w:r w:rsidRPr="00B274E7">
        <w:rPr>
          <w:b/>
        </w:rPr>
        <w:t xml:space="preserve"> </w:t>
      </w:r>
      <w:r w:rsidR="00C21486">
        <w:rPr>
          <w:b/>
        </w:rPr>
        <w:t>2 543</w:t>
      </w:r>
      <w:r w:rsidRPr="00B274E7">
        <w:t xml:space="preserve"> spraw postępowania zakończyły się przed osiągnięciem wyniku, w tym m.in.:</w:t>
      </w:r>
    </w:p>
    <w:p w:rsidR="00B274E7" w:rsidRDefault="002809D2" w:rsidP="002778B9">
      <w:pPr>
        <w:numPr>
          <w:ilvl w:val="0"/>
          <w:numId w:val="6"/>
        </w:numPr>
        <w:spacing w:line="276" w:lineRule="auto"/>
        <w:ind w:left="851"/>
      </w:pPr>
      <w:r>
        <w:t>503</w:t>
      </w:r>
      <w:r w:rsidR="00B274E7" w:rsidRPr="00B274E7">
        <w:t xml:space="preserve"> spraw</w:t>
      </w:r>
      <w:r w:rsidR="00BB364B">
        <w:t>y</w:t>
      </w:r>
      <w:r w:rsidR="00B274E7" w:rsidRPr="00B274E7">
        <w:t xml:space="preserve"> przekazano zgodnie z właściwością do innego WIIH,</w:t>
      </w:r>
    </w:p>
    <w:p w:rsidR="00E718D2" w:rsidRPr="00B274E7" w:rsidRDefault="00E718D2" w:rsidP="002778B9">
      <w:pPr>
        <w:numPr>
          <w:ilvl w:val="0"/>
          <w:numId w:val="6"/>
        </w:numPr>
        <w:spacing w:line="276" w:lineRule="auto"/>
        <w:ind w:left="851"/>
      </w:pPr>
      <w:r>
        <w:t xml:space="preserve">523 </w:t>
      </w:r>
      <w:r w:rsidRPr="00E718D2">
        <w:t>dotyczyło spraw, w których druga strona sporu odmówiła wzięcia udziału</w:t>
      </w:r>
      <w:r w:rsidR="00D53B96">
        <w:br/>
      </w:r>
      <w:r w:rsidRPr="00E718D2">
        <w:t>w postępowaniu (wnioski składane zarówno przez konsumentów i przedsiębiorców)</w:t>
      </w:r>
      <w:r w:rsidR="00D53B96">
        <w:t>,</w:t>
      </w:r>
    </w:p>
    <w:p w:rsidR="00B274E7" w:rsidRPr="00B274E7" w:rsidRDefault="002809D2" w:rsidP="002778B9">
      <w:pPr>
        <w:numPr>
          <w:ilvl w:val="0"/>
          <w:numId w:val="6"/>
        </w:numPr>
        <w:spacing w:line="276" w:lineRule="auto"/>
        <w:ind w:left="851"/>
      </w:pPr>
      <w:r>
        <w:t>39</w:t>
      </w:r>
      <w:r w:rsidR="00B274E7" w:rsidRPr="00B274E7">
        <w:t xml:space="preserve"> spraw, gdy konsument nie zgodził się na propozycję przedsiębiorcy,</w:t>
      </w:r>
    </w:p>
    <w:p w:rsidR="00B274E7" w:rsidRDefault="003E399E" w:rsidP="002778B9">
      <w:pPr>
        <w:numPr>
          <w:ilvl w:val="0"/>
          <w:numId w:val="6"/>
        </w:numPr>
        <w:spacing w:after="120" w:line="276" w:lineRule="auto"/>
        <w:ind w:left="851"/>
      </w:pPr>
      <w:r>
        <w:t>35</w:t>
      </w:r>
      <w:r w:rsidR="00B274E7" w:rsidRPr="00B274E7">
        <w:t xml:space="preserve"> spraw przekazano innym organom, ze względu na brak właściwości rzeczowej.</w:t>
      </w:r>
    </w:p>
    <w:p w:rsidR="00B274E7" w:rsidRPr="00B274E7" w:rsidRDefault="00B274E7" w:rsidP="003573CB">
      <w:pPr>
        <w:numPr>
          <w:ilvl w:val="0"/>
          <w:numId w:val="4"/>
        </w:numPr>
        <w:spacing w:before="240" w:after="120" w:line="276" w:lineRule="auto"/>
        <w:ind w:left="425" w:hanging="425"/>
        <w:rPr>
          <w:b/>
        </w:rPr>
      </w:pPr>
      <w:r w:rsidRPr="00B274E7">
        <w:rPr>
          <w:b/>
        </w:rPr>
        <w:t>Informacje w przedmiocie średniego czasu trwania postępowania</w:t>
      </w:r>
    </w:p>
    <w:p w:rsidR="00B274E7" w:rsidRDefault="00B274E7" w:rsidP="002778B9">
      <w:pPr>
        <w:spacing w:after="120" w:line="276" w:lineRule="auto"/>
        <w:ind w:left="426"/>
      </w:pPr>
      <w:r w:rsidRPr="00B274E7">
        <w:t xml:space="preserve">Średni czas postępowania </w:t>
      </w:r>
      <w:r w:rsidR="002778B9">
        <w:t>ADR</w:t>
      </w:r>
      <w:r w:rsidRPr="00B274E7">
        <w:t xml:space="preserve"> wynosił ok. </w:t>
      </w:r>
      <w:r w:rsidRPr="00B274E7">
        <w:rPr>
          <w:b/>
        </w:rPr>
        <w:t>3</w:t>
      </w:r>
      <w:r w:rsidR="00C21486">
        <w:rPr>
          <w:b/>
        </w:rPr>
        <w:t>5</w:t>
      </w:r>
      <w:r w:rsidRPr="00B274E7">
        <w:t xml:space="preserve"> dni. </w:t>
      </w:r>
    </w:p>
    <w:p w:rsidR="00B274E7" w:rsidRPr="00B274E7" w:rsidRDefault="00B274E7" w:rsidP="003573CB">
      <w:pPr>
        <w:numPr>
          <w:ilvl w:val="0"/>
          <w:numId w:val="4"/>
        </w:numPr>
        <w:spacing w:before="240" w:after="120" w:line="276" w:lineRule="auto"/>
        <w:ind w:left="425" w:hanging="425"/>
        <w:rPr>
          <w:b/>
        </w:rPr>
      </w:pPr>
      <w:r w:rsidRPr="00B274E7">
        <w:rPr>
          <w:b/>
        </w:rPr>
        <w:t>Informacja o współpracy podmiotów w ramach sieci podmiotów prowadzących postępowania pozasądowego rozwiązywania sporów konsumenckich, ułatwiających rozwiązywanie sporów transgranicznych, jeżeli podmiot uprawniony należy do takiej sieci</w:t>
      </w:r>
    </w:p>
    <w:p w:rsidR="00B274E7" w:rsidRPr="00B274E7" w:rsidRDefault="00B274E7" w:rsidP="002778B9">
      <w:pPr>
        <w:spacing w:after="120" w:line="276" w:lineRule="auto"/>
        <w:ind w:left="426"/>
      </w:pPr>
      <w:r w:rsidRPr="00B274E7">
        <w:t xml:space="preserve">Europejskie Centrum Konsumenckie przekazało do Inspekcji Handlowej  </w:t>
      </w:r>
      <w:r w:rsidR="00C21486" w:rsidRPr="00455E8D">
        <w:rPr>
          <w:b/>
        </w:rPr>
        <w:t>5</w:t>
      </w:r>
      <w:r w:rsidRPr="00B274E7">
        <w:t xml:space="preserve"> wniosków.</w:t>
      </w:r>
    </w:p>
    <w:p w:rsidR="00436632" w:rsidRDefault="008A5701" w:rsidP="00B06F39">
      <w:pPr>
        <w:spacing w:line="276" w:lineRule="auto"/>
      </w:pPr>
    </w:p>
    <w:p w:rsidR="00436632" w:rsidRDefault="008A5701" w:rsidP="00E25931">
      <w:pPr>
        <w:spacing w:line="276" w:lineRule="auto"/>
      </w:pPr>
    </w:p>
    <w:p w:rsidR="00436632" w:rsidRDefault="008A5701" w:rsidP="00E25931">
      <w:pPr>
        <w:spacing w:line="276" w:lineRule="auto"/>
      </w:pPr>
    </w:p>
    <w:p w:rsidR="00436632" w:rsidRDefault="008A5701" w:rsidP="00E25931">
      <w:pPr>
        <w:spacing w:line="276" w:lineRule="auto"/>
      </w:pPr>
    </w:p>
    <w:p w:rsidR="00436632" w:rsidRDefault="008A5701" w:rsidP="00E25931">
      <w:pPr>
        <w:spacing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C4414" w:rsidTr="00C45B0E">
        <w:trPr>
          <w:cantSplit/>
        </w:trPr>
        <w:tc>
          <w:tcPr>
            <w:tcW w:w="4536" w:type="dxa"/>
          </w:tcPr>
          <w:p w:rsidR="00584507" w:rsidRDefault="008A5701">
            <w:pPr>
              <w:spacing w:after="160" w:line="256" w:lineRule="auto"/>
              <w:jc w:val="left"/>
            </w:pPr>
          </w:p>
        </w:tc>
        <w:tc>
          <w:tcPr>
            <w:tcW w:w="4536" w:type="dxa"/>
          </w:tcPr>
          <w:p w:rsidR="00584507" w:rsidRDefault="008A5701">
            <w:pPr>
              <w:spacing w:line="240" w:lineRule="auto"/>
              <w:ind w:left="-107"/>
              <w:jc w:val="center"/>
              <w:rPr>
                <w:i/>
              </w:rPr>
            </w:pPr>
          </w:p>
        </w:tc>
      </w:tr>
      <w:tr w:rsidR="006C4414" w:rsidTr="00584507">
        <w:trPr>
          <w:cantSplit/>
          <w:trHeight w:val="808"/>
        </w:trPr>
        <w:tc>
          <w:tcPr>
            <w:tcW w:w="4536" w:type="dxa"/>
          </w:tcPr>
          <w:p w:rsidR="00584507" w:rsidRDefault="008A5701">
            <w:pPr>
              <w:spacing w:after="160" w:line="256" w:lineRule="auto"/>
              <w:jc w:val="center"/>
            </w:pPr>
          </w:p>
          <w:p w:rsidR="00584507" w:rsidRDefault="008A5701">
            <w:pPr>
              <w:tabs>
                <w:tab w:val="left" w:pos="4762"/>
              </w:tabs>
              <w:jc w:val="center"/>
            </w:pPr>
          </w:p>
        </w:tc>
        <w:tc>
          <w:tcPr>
            <w:tcW w:w="4536" w:type="dxa"/>
            <w:vAlign w:val="center"/>
          </w:tcPr>
          <w:p w:rsidR="00584507" w:rsidRDefault="008A5701" w:rsidP="00CA6BC5">
            <w:pPr>
              <w:spacing w:after="160" w:line="256" w:lineRule="auto"/>
              <w:rPr>
                <w:i/>
                <w:sz w:val="16"/>
              </w:rPr>
            </w:pPr>
            <w:bookmarkStart w:id="2" w:name="ezdPracownikAtrybut3"/>
            <w:bookmarkEnd w:id="2"/>
          </w:p>
        </w:tc>
      </w:tr>
    </w:tbl>
    <w:p w:rsidR="00CE7A14" w:rsidRDefault="008A5701" w:rsidP="00CD22D9"/>
    <w:p w:rsidR="00CE7A14" w:rsidRPr="00CD22D9" w:rsidRDefault="008A5701" w:rsidP="00CD22D9"/>
    <w:sectPr w:rsidR="00CE7A14" w:rsidRPr="00CD22D9" w:rsidSect="00674F51">
      <w:headerReference w:type="default" r:id="rId11"/>
      <w:footerReference w:type="default" r:id="rId12"/>
      <w:pgSz w:w="11906" w:h="16838" w:code="9"/>
      <w:pgMar w:top="1417" w:right="1417" w:bottom="1417" w:left="1417" w:header="426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701" w:rsidRDefault="008A5701">
      <w:pPr>
        <w:spacing w:line="240" w:lineRule="auto"/>
      </w:pPr>
      <w:r>
        <w:separator/>
      </w:r>
    </w:p>
  </w:endnote>
  <w:endnote w:type="continuationSeparator" w:id="0">
    <w:p w:rsidR="008A5701" w:rsidRDefault="008A5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Calibri"/>
    <w:charset w:val="00"/>
    <w:family w:val="swiss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3828"/>
      <w:gridCol w:w="1417"/>
      <w:gridCol w:w="3827"/>
    </w:tblGrid>
    <w:tr w:rsidR="006C4414" w:rsidTr="00365D30">
      <w:tc>
        <w:tcPr>
          <w:tcW w:w="3828" w:type="dxa"/>
          <w:shd w:val="clear" w:color="auto" w:fill="auto"/>
          <w:vAlign w:val="center"/>
        </w:tcPr>
        <w:p w:rsidR="00AE280E" w:rsidRPr="007B0D40" w:rsidRDefault="00B57BE3" w:rsidP="00AE280E">
          <w:pPr>
            <w:autoSpaceDE w:val="0"/>
            <w:autoSpaceDN w:val="0"/>
            <w:adjustRightInd w:val="0"/>
            <w:spacing w:line="240" w:lineRule="auto"/>
            <w:jc w:val="right"/>
            <w:rPr>
              <w:rFonts w:cs="TrebuchetMS"/>
              <w:b/>
              <w:color w:val="000000"/>
              <w:sz w:val="13"/>
              <w:szCs w:val="13"/>
            </w:rPr>
          </w:pPr>
          <w:r w:rsidRPr="007B0D40">
            <w:rPr>
              <w:rFonts w:cs="TrebuchetMS"/>
              <w:b/>
              <w:color w:val="000000"/>
              <w:sz w:val="13"/>
              <w:szCs w:val="13"/>
            </w:rPr>
            <w:t>Urząd Ochrony Konkurencji i Konsumentów</w:t>
          </w:r>
        </w:p>
        <w:p w:rsidR="00AE280E" w:rsidRPr="007B0D40" w:rsidRDefault="00B57BE3" w:rsidP="00AE280E">
          <w:pPr>
            <w:spacing w:line="240" w:lineRule="auto"/>
            <w:jc w:val="right"/>
            <w:rPr>
              <w:sz w:val="13"/>
              <w:szCs w:val="13"/>
            </w:rPr>
          </w:pPr>
          <w:r w:rsidRPr="007B0D40">
            <w:rPr>
              <w:rFonts w:cs="TrebuchetMS"/>
              <w:color w:val="666666"/>
              <w:sz w:val="13"/>
              <w:szCs w:val="13"/>
            </w:rPr>
            <w:t>pl. Powstańców Warszawy 1</w:t>
          </w:r>
          <w:r>
            <w:rPr>
              <w:rFonts w:cs="TrebuchetMS"/>
              <w:color w:val="666666"/>
              <w:sz w:val="13"/>
              <w:szCs w:val="13"/>
            </w:rPr>
            <w:t xml:space="preserve"> </w:t>
          </w:r>
          <w:r w:rsidRPr="007B0D40">
            <w:rPr>
              <w:rFonts w:cs="TrebuchetMS"/>
              <w:color w:val="666666"/>
              <w:sz w:val="13"/>
              <w:szCs w:val="13"/>
            </w:rPr>
            <w:t>00-950 Warszawa</w:t>
          </w:r>
        </w:p>
      </w:tc>
      <w:tc>
        <w:tcPr>
          <w:tcW w:w="1417" w:type="dxa"/>
          <w:shd w:val="clear" w:color="auto" w:fill="auto"/>
          <w:vAlign w:val="center"/>
        </w:tcPr>
        <w:p w:rsidR="00AE280E" w:rsidRPr="007B0D40" w:rsidRDefault="008A5701" w:rsidP="00112891">
          <w:pPr>
            <w:pStyle w:val="Stopka"/>
            <w:jc w:val="center"/>
            <w:rPr>
              <w:sz w:val="13"/>
              <w:szCs w:val="13"/>
            </w:rPr>
          </w:pPr>
        </w:p>
        <w:p w:rsidR="00AE280E" w:rsidRPr="007B0D40" w:rsidRDefault="008A5701" w:rsidP="00112891">
          <w:pPr>
            <w:pStyle w:val="Stopka"/>
            <w:spacing w:before="120" w:after="120"/>
            <w:jc w:val="center"/>
            <w:rPr>
              <w:sz w:val="13"/>
              <w:szCs w:val="13"/>
            </w:rPr>
          </w:pPr>
        </w:p>
      </w:tc>
      <w:tc>
        <w:tcPr>
          <w:tcW w:w="3827" w:type="dxa"/>
          <w:shd w:val="clear" w:color="auto" w:fill="auto"/>
          <w:vAlign w:val="center"/>
        </w:tcPr>
        <w:p w:rsidR="00CB5879" w:rsidRPr="0082561C" w:rsidRDefault="00B57BE3" w:rsidP="00365D30">
          <w:pPr>
            <w:tabs>
              <w:tab w:val="right" w:pos="3601"/>
            </w:tabs>
            <w:autoSpaceDE w:val="0"/>
            <w:autoSpaceDN w:val="0"/>
            <w:adjustRightInd w:val="0"/>
            <w:spacing w:line="240" w:lineRule="auto"/>
            <w:ind w:left="-105"/>
            <w:jc w:val="left"/>
            <w:rPr>
              <w:rFonts w:cs="TrebuchetMS"/>
              <w:color w:val="666666"/>
              <w:sz w:val="13"/>
              <w:szCs w:val="13"/>
              <w:lang w:val="en-US"/>
            </w:rPr>
          </w:pPr>
          <w:r>
            <w:rPr>
              <w:rFonts w:cs="TrebuchetMS-Bold"/>
              <w:b/>
              <w:bCs/>
              <w:color w:val="666666"/>
              <w:sz w:val="13"/>
              <w:szCs w:val="13"/>
              <w:lang w:val="en-US"/>
            </w:rPr>
            <w:t xml:space="preserve"> </w:t>
          </w:r>
          <w:r w:rsidRPr="0082561C">
            <w:rPr>
              <w:rFonts w:cs="TrebuchetMS-Bold"/>
              <w:bCs/>
              <w:color w:val="666666"/>
              <w:sz w:val="13"/>
              <w:szCs w:val="13"/>
              <w:lang w:val="en-US"/>
            </w:rPr>
            <w:t>tel.</w:t>
          </w:r>
          <w:bookmarkStart w:id="3" w:name="ezdAutorWydzialAtrybut1"/>
          <w:r w:rsidRPr="0082561C">
            <w:rPr>
              <w:rFonts w:cs="TrebuchetMS"/>
              <w:color w:val="666666"/>
              <w:sz w:val="13"/>
              <w:szCs w:val="13"/>
              <w:lang w:val="en-US"/>
            </w:rPr>
            <w:t>22 556 01 76</w:t>
          </w:r>
          <w:bookmarkEnd w:id="3"/>
          <w:r w:rsidRPr="0082561C">
            <w:rPr>
              <w:rFonts w:cs="TrebuchetMS"/>
              <w:color w:val="666666"/>
              <w:sz w:val="13"/>
              <w:szCs w:val="13"/>
              <w:lang w:val="en-US"/>
            </w:rPr>
            <w:tab/>
          </w:r>
        </w:p>
        <w:p w:rsidR="00AE280E" w:rsidRPr="007B0D40" w:rsidRDefault="00B57BE3" w:rsidP="00365D30">
          <w:pPr>
            <w:tabs>
              <w:tab w:val="right" w:pos="3601"/>
            </w:tabs>
            <w:spacing w:line="240" w:lineRule="auto"/>
            <w:ind w:left="-105"/>
            <w:jc w:val="left"/>
            <w:rPr>
              <w:sz w:val="13"/>
              <w:szCs w:val="13"/>
              <w:lang w:val="en-US"/>
            </w:rPr>
          </w:pPr>
          <w:r w:rsidRPr="0082561C">
            <w:rPr>
              <w:rFonts w:ascii="TrebuchetMS" w:hAnsi="TrebuchetMS" w:cs="TrebuchetMS"/>
              <w:color w:val="666666"/>
              <w:sz w:val="13"/>
              <w:szCs w:val="13"/>
              <w:lang w:val="en-US"/>
            </w:rPr>
            <w:t xml:space="preserve"> </w:t>
          </w:r>
          <w:bookmarkStart w:id="4" w:name="ezdAutorWydzialAtrybut3"/>
          <w:r w:rsidRPr="0082561C">
            <w:rPr>
              <w:rFonts w:ascii="TrebuchetMS" w:hAnsi="TrebuchetMS" w:cs="TrebuchetMS"/>
              <w:color w:val="666666"/>
              <w:sz w:val="13"/>
              <w:szCs w:val="13"/>
              <w:lang w:val="en-US"/>
            </w:rPr>
            <w:t>dih@uokik.gov.pl</w:t>
          </w:r>
          <w:bookmarkEnd w:id="4"/>
          <w:r w:rsidRPr="0082561C">
            <w:rPr>
              <w:rFonts w:ascii="TrebuchetMS" w:hAnsi="TrebuchetMS" w:cs="TrebuchetMS"/>
              <w:color w:val="666666"/>
              <w:sz w:val="13"/>
              <w:szCs w:val="13"/>
              <w:lang w:val="en-US"/>
            </w:rPr>
            <w:t xml:space="preserve">   www.uokik.gov.pl</w:t>
          </w:r>
          <w:r>
            <w:rPr>
              <w:rFonts w:cs="TrebuchetMS-Bold"/>
              <w:b/>
              <w:bCs/>
              <w:color w:val="000000"/>
              <w:sz w:val="13"/>
              <w:szCs w:val="13"/>
              <w:lang w:val="en-US"/>
            </w:rPr>
            <w:tab/>
          </w:r>
          <w:r>
            <w:rPr>
              <w:rFonts w:cs="TrebuchetMS-Bold"/>
              <w:b/>
              <w:bCs/>
              <w:color w:val="000000"/>
              <w:sz w:val="13"/>
              <w:szCs w:val="13"/>
              <w:lang w:val="en-US"/>
            </w:rPr>
            <w:fldChar w:fldCharType="begin"/>
          </w:r>
          <w:r>
            <w:rPr>
              <w:rFonts w:cs="TrebuchetMS-Bold"/>
              <w:b/>
              <w:bCs/>
              <w:color w:val="000000"/>
              <w:sz w:val="13"/>
              <w:szCs w:val="13"/>
              <w:lang w:val="en-US"/>
            </w:rPr>
            <w:instrText xml:space="preserve"> PAGE  \* Arabic  \* MERGEFORMAT </w:instrText>
          </w:r>
          <w:r>
            <w:rPr>
              <w:rFonts w:cs="TrebuchetMS-Bold"/>
              <w:b/>
              <w:bCs/>
              <w:color w:val="000000"/>
              <w:sz w:val="13"/>
              <w:szCs w:val="13"/>
              <w:lang w:val="en-US"/>
            </w:rPr>
            <w:fldChar w:fldCharType="separate"/>
          </w:r>
          <w:r>
            <w:rPr>
              <w:rFonts w:cs="TrebuchetMS-Bold"/>
              <w:b/>
              <w:bCs/>
              <w:noProof/>
              <w:color w:val="000000"/>
              <w:sz w:val="13"/>
              <w:szCs w:val="13"/>
              <w:lang w:val="en-US"/>
            </w:rPr>
            <w:t>1</w:t>
          </w:r>
          <w:r>
            <w:rPr>
              <w:rFonts w:cs="TrebuchetMS-Bold"/>
              <w:b/>
              <w:bCs/>
              <w:color w:val="000000"/>
              <w:sz w:val="13"/>
              <w:szCs w:val="13"/>
              <w:lang w:val="en-US"/>
            </w:rPr>
            <w:fldChar w:fldCharType="end"/>
          </w:r>
        </w:p>
      </w:tc>
    </w:tr>
  </w:tbl>
  <w:p w:rsidR="00AE280E" w:rsidRPr="00AE280E" w:rsidRDefault="00B57BE3" w:rsidP="00112891">
    <w:pPr>
      <w:pStyle w:val="Stopka"/>
      <w:tabs>
        <w:tab w:val="left" w:pos="4477"/>
      </w:tabs>
      <w:jc w:val="center"/>
      <w:rPr>
        <w:sz w:val="16"/>
        <w:lang w:val="en-GB"/>
      </w:rPr>
    </w:pPr>
    <w:bookmarkStart w:id="5" w:name="ezdIdentyfikatorDokumentuPDF"/>
    <w:bookmarkEnd w:id="5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8941291</wp:posOffset>
          </wp:positionV>
          <wp:extent cx="997200" cy="558000"/>
          <wp:effectExtent l="0" t="0" r="0" b="0"/>
          <wp:wrapNone/>
          <wp:docPr id="122" name="Obraz 122" descr="C:\Users\t.wieczorek\Desktop\UOkik grafiki\Trójkąt ze stop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t.wieczorek\Desktop\UOkik grafiki\Trójkąt ze stopk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701" w:rsidRDefault="008A5701">
      <w:pPr>
        <w:spacing w:line="240" w:lineRule="auto"/>
      </w:pPr>
      <w:r>
        <w:separator/>
      </w:r>
    </w:p>
  </w:footnote>
  <w:footnote w:type="continuationSeparator" w:id="0">
    <w:p w:rsidR="008A5701" w:rsidRDefault="008A5701">
      <w:pPr>
        <w:spacing w:line="240" w:lineRule="auto"/>
      </w:pPr>
      <w:r>
        <w:continuationSeparator/>
      </w:r>
    </w:p>
  </w:footnote>
  <w:footnote w:id="1">
    <w:p w:rsidR="003573CB" w:rsidRPr="003573CB" w:rsidRDefault="003573CB" w:rsidP="003573CB">
      <w:pPr>
        <w:pStyle w:val="Tekstprzypisudolnego"/>
        <w:spacing w:after="120"/>
        <w:rPr>
          <w:sz w:val="18"/>
          <w:szCs w:val="18"/>
        </w:rPr>
      </w:pPr>
      <w:r w:rsidRPr="003573CB">
        <w:rPr>
          <w:rStyle w:val="Odwoanieprzypisudolnego"/>
          <w:sz w:val="18"/>
          <w:szCs w:val="18"/>
        </w:rPr>
        <w:footnoteRef/>
      </w:r>
      <w:r w:rsidRPr="003573CB">
        <w:rPr>
          <w:sz w:val="18"/>
          <w:szCs w:val="18"/>
        </w:rPr>
        <w:t xml:space="preserve"> ustawa z dnia 15 grudnia 2000 r. o Inspekcji Handlowej (Dz. U. z 2025 r. poz. 229, ze zm.)</w:t>
      </w:r>
    </w:p>
  </w:footnote>
  <w:footnote w:id="2">
    <w:p w:rsidR="003573CB" w:rsidRPr="003573CB" w:rsidRDefault="003573CB" w:rsidP="003573CB">
      <w:pPr>
        <w:pStyle w:val="Tekstprzypisudolnego"/>
        <w:spacing w:after="120"/>
        <w:rPr>
          <w:sz w:val="18"/>
          <w:szCs w:val="18"/>
        </w:rPr>
      </w:pPr>
      <w:r w:rsidRPr="003573CB">
        <w:rPr>
          <w:rStyle w:val="Odwoanieprzypisudolnego"/>
          <w:sz w:val="18"/>
          <w:szCs w:val="18"/>
        </w:rPr>
        <w:footnoteRef/>
      </w:r>
      <w:r w:rsidRPr="003573CB">
        <w:rPr>
          <w:sz w:val="18"/>
          <w:szCs w:val="18"/>
        </w:rPr>
        <w:t xml:space="preserve"> ustawa z dnia 23 września 2016 r. o pozasądowym rozwiązywaniu sporów konsumenckich (Dz. U. z 2016 r. poz. 1823)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D40" w:rsidRDefault="008A5701" w:rsidP="007B0D4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A14"/>
    <w:multiLevelType w:val="hybridMultilevel"/>
    <w:tmpl w:val="B99059F0"/>
    <w:lvl w:ilvl="0" w:tplc="F7E84A68">
      <w:start w:val="1"/>
      <w:numFmt w:val="decimal"/>
      <w:lvlText w:val="%1."/>
      <w:lvlJc w:val="left"/>
      <w:pPr>
        <w:ind w:left="720" w:hanging="360"/>
      </w:pPr>
    </w:lvl>
    <w:lvl w:ilvl="1" w:tplc="F076620C" w:tentative="1">
      <w:start w:val="1"/>
      <w:numFmt w:val="lowerLetter"/>
      <w:lvlText w:val="%2."/>
      <w:lvlJc w:val="left"/>
      <w:pPr>
        <w:ind w:left="1440" w:hanging="360"/>
      </w:pPr>
    </w:lvl>
    <w:lvl w:ilvl="2" w:tplc="D1EA89B0" w:tentative="1">
      <w:start w:val="1"/>
      <w:numFmt w:val="lowerRoman"/>
      <w:lvlText w:val="%3."/>
      <w:lvlJc w:val="right"/>
      <w:pPr>
        <w:ind w:left="2160" w:hanging="180"/>
      </w:pPr>
    </w:lvl>
    <w:lvl w:ilvl="3" w:tplc="A2345486" w:tentative="1">
      <w:start w:val="1"/>
      <w:numFmt w:val="decimal"/>
      <w:lvlText w:val="%4."/>
      <w:lvlJc w:val="left"/>
      <w:pPr>
        <w:ind w:left="2880" w:hanging="360"/>
      </w:pPr>
    </w:lvl>
    <w:lvl w:ilvl="4" w:tplc="1E60D472" w:tentative="1">
      <w:start w:val="1"/>
      <w:numFmt w:val="lowerLetter"/>
      <w:lvlText w:val="%5."/>
      <w:lvlJc w:val="left"/>
      <w:pPr>
        <w:ind w:left="3600" w:hanging="360"/>
      </w:pPr>
    </w:lvl>
    <w:lvl w:ilvl="5" w:tplc="AF664740" w:tentative="1">
      <w:start w:val="1"/>
      <w:numFmt w:val="lowerRoman"/>
      <w:lvlText w:val="%6."/>
      <w:lvlJc w:val="right"/>
      <w:pPr>
        <w:ind w:left="4320" w:hanging="180"/>
      </w:pPr>
    </w:lvl>
    <w:lvl w:ilvl="6" w:tplc="E734538A" w:tentative="1">
      <w:start w:val="1"/>
      <w:numFmt w:val="decimal"/>
      <w:lvlText w:val="%7."/>
      <w:lvlJc w:val="left"/>
      <w:pPr>
        <w:ind w:left="5040" w:hanging="360"/>
      </w:pPr>
    </w:lvl>
    <w:lvl w:ilvl="7" w:tplc="6FF0D70E" w:tentative="1">
      <w:start w:val="1"/>
      <w:numFmt w:val="lowerLetter"/>
      <w:lvlText w:val="%8."/>
      <w:lvlJc w:val="left"/>
      <w:pPr>
        <w:ind w:left="5760" w:hanging="360"/>
      </w:pPr>
    </w:lvl>
    <w:lvl w:ilvl="8" w:tplc="E37E0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5631A"/>
    <w:multiLevelType w:val="hybridMultilevel"/>
    <w:tmpl w:val="ACD88778"/>
    <w:lvl w:ilvl="0" w:tplc="A544C80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4780"/>
    <w:multiLevelType w:val="hybridMultilevel"/>
    <w:tmpl w:val="5E6EFEC2"/>
    <w:lvl w:ilvl="0" w:tplc="29A6091E">
      <w:start w:val="1"/>
      <w:numFmt w:val="bullet"/>
      <w:lvlText w:val="—"/>
      <w:lvlJc w:val="left"/>
      <w:pPr>
        <w:ind w:left="2421" w:hanging="360"/>
      </w:pPr>
      <w:rPr>
        <w:rFonts w:ascii="Trebuchet MS" w:hAnsi="Trebuchet MS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52252BBA"/>
    <w:multiLevelType w:val="hybridMultilevel"/>
    <w:tmpl w:val="23F0305C"/>
    <w:lvl w:ilvl="0" w:tplc="C8FE2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3AF168" w:tentative="1">
      <w:start w:val="1"/>
      <w:numFmt w:val="lowerLetter"/>
      <w:lvlText w:val="%2."/>
      <w:lvlJc w:val="left"/>
      <w:pPr>
        <w:ind w:left="1440" w:hanging="360"/>
      </w:pPr>
    </w:lvl>
    <w:lvl w:ilvl="2" w:tplc="EAF666E0" w:tentative="1">
      <w:start w:val="1"/>
      <w:numFmt w:val="lowerRoman"/>
      <w:lvlText w:val="%3."/>
      <w:lvlJc w:val="right"/>
      <w:pPr>
        <w:ind w:left="2160" w:hanging="180"/>
      </w:pPr>
    </w:lvl>
    <w:lvl w:ilvl="3" w:tplc="2B8267DA" w:tentative="1">
      <w:start w:val="1"/>
      <w:numFmt w:val="decimal"/>
      <w:lvlText w:val="%4."/>
      <w:lvlJc w:val="left"/>
      <w:pPr>
        <w:ind w:left="2880" w:hanging="360"/>
      </w:pPr>
    </w:lvl>
    <w:lvl w:ilvl="4" w:tplc="6CC4FA62" w:tentative="1">
      <w:start w:val="1"/>
      <w:numFmt w:val="lowerLetter"/>
      <w:lvlText w:val="%5."/>
      <w:lvlJc w:val="left"/>
      <w:pPr>
        <w:ind w:left="3600" w:hanging="360"/>
      </w:pPr>
    </w:lvl>
    <w:lvl w:ilvl="5" w:tplc="13EEF7DE" w:tentative="1">
      <w:start w:val="1"/>
      <w:numFmt w:val="lowerRoman"/>
      <w:lvlText w:val="%6."/>
      <w:lvlJc w:val="right"/>
      <w:pPr>
        <w:ind w:left="4320" w:hanging="180"/>
      </w:pPr>
    </w:lvl>
    <w:lvl w:ilvl="6" w:tplc="B4769092" w:tentative="1">
      <w:start w:val="1"/>
      <w:numFmt w:val="decimal"/>
      <w:lvlText w:val="%7."/>
      <w:lvlJc w:val="left"/>
      <w:pPr>
        <w:ind w:left="5040" w:hanging="360"/>
      </w:pPr>
    </w:lvl>
    <w:lvl w:ilvl="7" w:tplc="9D94C468" w:tentative="1">
      <w:start w:val="1"/>
      <w:numFmt w:val="lowerLetter"/>
      <w:lvlText w:val="%8."/>
      <w:lvlJc w:val="left"/>
      <w:pPr>
        <w:ind w:left="5760" w:hanging="360"/>
      </w:pPr>
    </w:lvl>
    <w:lvl w:ilvl="8" w:tplc="4F24B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87287"/>
    <w:multiLevelType w:val="hybridMultilevel"/>
    <w:tmpl w:val="F6BC1F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1601F"/>
    <w:multiLevelType w:val="hybridMultilevel"/>
    <w:tmpl w:val="7B527312"/>
    <w:lvl w:ilvl="0" w:tplc="29A6091E">
      <w:start w:val="1"/>
      <w:numFmt w:val="bullet"/>
      <w:lvlText w:val="—"/>
      <w:lvlJc w:val="left"/>
      <w:pPr>
        <w:ind w:left="1287" w:hanging="360"/>
      </w:pPr>
      <w:rPr>
        <w:rFonts w:ascii="Trebuchet MS" w:hAnsi="Trebuchet M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65870E7"/>
    <w:multiLevelType w:val="hybridMultilevel"/>
    <w:tmpl w:val="4AAAC498"/>
    <w:lvl w:ilvl="0" w:tplc="0750F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E4411E" w:tentative="1">
      <w:start w:val="1"/>
      <w:numFmt w:val="lowerLetter"/>
      <w:lvlText w:val="%2."/>
      <w:lvlJc w:val="left"/>
      <w:pPr>
        <w:ind w:left="1440" w:hanging="360"/>
      </w:pPr>
    </w:lvl>
    <w:lvl w:ilvl="2" w:tplc="7DBC0052" w:tentative="1">
      <w:start w:val="1"/>
      <w:numFmt w:val="lowerRoman"/>
      <w:lvlText w:val="%3."/>
      <w:lvlJc w:val="right"/>
      <w:pPr>
        <w:ind w:left="2160" w:hanging="180"/>
      </w:pPr>
    </w:lvl>
    <w:lvl w:ilvl="3" w:tplc="C6E491EE" w:tentative="1">
      <w:start w:val="1"/>
      <w:numFmt w:val="decimal"/>
      <w:lvlText w:val="%4."/>
      <w:lvlJc w:val="left"/>
      <w:pPr>
        <w:ind w:left="2880" w:hanging="360"/>
      </w:pPr>
    </w:lvl>
    <w:lvl w:ilvl="4" w:tplc="BE4A9ADE" w:tentative="1">
      <w:start w:val="1"/>
      <w:numFmt w:val="lowerLetter"/>
      <w:lvlText w:val="%5."/>
      <w:lvlJc w:val="left"/>
      <w:pPr>
        <w:ind w:left="3600" w:hanging="360"/>
      </w:pPr>
    </w:lvl>
    <w:lvl w:ilvl="5" w:tplc="C036624A" w:tentative="1">
      <w:start w:val="1"/>
      <w:numFmt w:val="lowerRoman"/>
      <w:lvlText w:val="%6."/>
      <w:lvlJc w:val="right"/>
      <w:pPr>
        <w:ind w:left="4320" w:hanging="180"/>
      </w:pPr>
    </w:lvl>
    <w:lvl w:ilvl="6" w:tplc="22A0A6C0" w:tentative="1">
      <w:start w:val="1"/>
      <w:numFmt w:val="decimal"/>
      <w:lvlText w:val="%7."/>
      <w:lvlJc w:val="left"/>
      <w:pPr>
        <w:ind w:left="5040" w:hanging="360"/>
      </w:pPr>
    </w:lvl>
    <w:lvl w:ilvl="7" w:tplc="B14087E4" w:tentative="1">
      <w:start w:val="1"/>
      <w:numFmt w:val="lowerLetter"/>
      <w:lvlText w:val="%8."/>
      <w:lvlJc w:val="left"/>
      <w:pPr>
        <w:ind w:left="5760" w:hanging="360"/>
      </w:pPr>
    </w:lvl>
    <w:lvl w:ilvl="8" w:tplc="B6C65FD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14"/>
    <w:rsid w:val="00034134"/>
    <w:rsid w:val="00143482"/>
    <w:rsid w:val="00172B72"/>
    <w:rsid w:val="001C72CF"/>
    <w:rsid w:val="002114B1"/>
    <w:rsid w:val="00223305"/>
    <w:rsid w:val="00256FDA"/>
    <w:rsid w:val="002778B9"/>
    <w:rsid w:val="002809D2"/>
    <w:rsid w:val="002F0A15"/>
    <w:rsid w:val="003573CB"/>
    <w:rsid w:val="00364E02"/>
    <w:rsid w:val="003B699F"/>
    <w:rsid w:val="003C1024"/>
    <w:rsid w:val="003D5871"/>
    <w:rsid w:val="003E399E"/>
    <w:rsid w:val="00455E8D"/>
    <w:rsid w:val="0049598F"/>
    <w:rsid w:val="00540046"/>
    <w:rsid w:val="00542B13"/>
    <w:rsid w:val="005F0057"/>
    <w:rsid w:val="006032DE"/>
    <w:rsid w:val="0062558D"/>
    <w:rsid w:val="00627E5A"/>
    <w:rsid w:val="0065605B"/>
    <w:rsid w:val="006B208C"/>
    <w:rsid w:val="006C4414"/>
    <w:rsid w:val="006F1217"/>
    <w:rsid w:val="00700D17"/>
    <w:rsid w:val="00706784"/>
    <w:rsid w:val="0073208B"/>
    <w:rsid w:val="0074492A"/>
    <w:rsid w:val="008163C0"/>
    <w:rsid w:val="008A5701"/>
    <w:rsid w:val="008D037F"/>
    <w:rsid w:val="008F3975"/>
    <w:rsid w:val="009D2FE0"/>
    <w:rsid w:val="00AE1C5B"/>
    <w:rsid w:val="00AE527C"/>
    <w:rsid w:val="00B274E7"/>
    <w:rsid w:val="00B57BE3"/>
    <w:rsid w:val="00BA25CF"/>
    <w:rsid w:val="00BB364B"/>
    <w:rsid w:val="00C21486"/>
    <w:rsid w:val="00C45B0E"/>
    <w:rsid w:val="00CA6BC5"/>
    <w:rsid w:val="00CE10A5"/>
    <w:rsid w:val="00D26B96"/>
    <w:rsid w:val="00D50DCF"/>
    <w:rsid w:val="00D53B96"/>
    <w:rsid w:val="00D9469F"/>
    <w:rsid w:val="00DC6B6B"/>
    <w:rsid w:val="00E718D2"/>
    <w:rsid w:val="00ED58E2"/>
    <w:rsid w:val="00F31F55"/>
    <w:rsid w:val="00F91F67"/>
    <w:rsid w:val="00FE1E63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3B19D"/>
  <w15:docId w15:val="{AADE0C7B-DAC1-48AC-B2F0-3989ED2E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D22D9"/>
    <w:pPr>
      <w:spacing w:line="360" w:lineRule="auto"/>
      <w:jc w:val="both"/>
    </w:pPr>
    <w:rPr>
      <w:rFonts w:ascii="Trebuchet MS" w:hAnsi="Trebuchet MS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43DE"/>
    <w:pPr>
      <w:keepNext/>
      <w:keepLines/>
      <w:spacing w:before="40" w:line="254" w:lineRule="auto"/>
      <w:jc w:val="left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2D9"/>
  </w:style>
  <w:style w:type="paragraph" w:styleId="Stopka">
    <w:name w:val="footer"/>
    <w:basedOn w:val="Normalny"/>
    <w:link w:val="StopkaZnak"/>
    <w:uiPriority w:val="99"/>
    <w:unhideWhenUsed/>
    <w:rsid w:val="00CD22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2D9"/>
  </w:style>
  <w:style w:type="table" w:styleId="Tabela-Siatka">
    <w:name w:val="Table Grid"/>
    <w:basedOn w:val="Standardowy"/>
    <w:uiPriority w:val="39"/>
    <w:rsid w:val="00CD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D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2D85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semiHidden/>
    <w:rsid w:val="00E343DE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styleId="Pogrubienie">
    <w:name w:val="Strong"/>
    <w:uiPriority w:val="22"/>
    <w:qFormat/>
    <w:rsid w:val="00E343DE"/>
    <w:rPr>
      <w:b/>
      <w:bCs/>
    </w:rPr>
  </w:style>
  <w:style w:type="paragraph" w:styleId="Akapitzlist">
    <w:name w:val="List Paragraph"/>
    <w:basedOn w:val="Normalny"/>
    <w:uiPriority w:val="34"/>
    <w:qFormat/>
    <w:rsid w:val="00B06F39"/>
    <w:pPr>
      <w:spacing w:after="160" w:line="259" w:lineRule="auto"/>
      <w:ind w:left="720"/>
      <w:contextualSpacing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02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024"/>
    <w:rPr>
      <w:rFonts w:ascii="Trebuchet MS" w:hAnsi="Trebuchet MS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fa592502-768b-4b47-93c2-5aa1c366ffb6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A4D62-3D31-499F-9D4C-71339539106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9F8DE98-FFC0-47C5-854E-F7DA8614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Lewko</dc:creator>
  <cp:lastModifiedBy>Joanna Jankowska-Kuć</cp:lastModifiedBy>
  <cp:revision>20</cp:revision>
  <cp:lastPrinted>2018-09-11T10:23:00Z</cp:lastPrinted>
  <dcterms:created xsi:type="dcterms:W3CDTF">2024-12-30T21:45:00Z</dcterms:created>
  <dcterms:modified xsi:type="dcterms:W3CDTF">2026-04-27T07:05:00Z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4" name="bjDocumentLabelXML-0">
    <vt:lpwstr>ames.com/2008/01/sie/internal/label"&gt;&lt;element uid="fa592502-768b-4b47-93c2-5aa1c366ffb6" value="" /&gt;&lt;/sisl&gt;</vt:lpwstr>
  </property>
  <property fmtid="{D5CDD505-2E9C-101B-9397-08002B2CF9AE}" pid="5" name="bjDocumentSecurityLabel">
    <vt:lpwstr>PRAWNIE CHRONIONE</vt:lpwstr>
  </property>
  <property fmtid="{D5CDD505-2E9C-101B-9397-08002B2CF9AE}" pid="6" name="bjSaver">
    <vt:lpwstr>rvSx+0TNckFIl3w3j7318yI/MRj2bhy1</vt:lpwstr>
  </property>
  <property fmtid="{D5CDD505-2E9C-101B-9397-08002B2CF9AE}" pid="7" name="docIndexRef">
    <vt:lpwstr>82668ad3-dd19-4e47-ade7-57921203bc3a</vt:lpwstr>
  </property>
</Properties>
</file>